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7C" w:rsidRDefault="00150BD9" w:rsidP="00FC62C4">
      <w:pPr>
        <w:rPr>
          <w:noProof/>
          <w:lang w:eastAsia="cs-CZ"/>
        </w:rPr>
      </w:pPr>
      <w:bookmarkStart w:id="0" w:name="_GoBack"/>
      <w:bookmarkEnd w:id="0"/>
      <w:r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63360" behindDoc="1" locked="0" layoutInCell="1" allowOverlap="1" wp14:anchorId="48BD9C90" wp14:editId="2D2C217F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688975" cy="664845"/>
            <wp:effectExtent l="0" t="0" r="0" b="1905"/>
            <wp:wrapNone/>
            <wp:docPr id="21" name="Obrázek 21" descr="C:\Dokumenty\Obrázky\Valex\ISO_9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y\Obrázky\Valex\ISO_9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08EBD3C" wp14:editId="3EFE8CED">
            <wp:simplePos x="0" y="0"/>
            <wp:positionH relativeFrom="column">
              <wp:posOffset>-347980</wp:posOffset>
            </wp:positionH>
            <wp:positionV relativeFrom="paragraph">
              <wp:posOffset>-5080</wp:posOffset>
            </wp:positionV>
            <wp:extent cx="1485900" cy="570230"/>
            <wp:effectExtent l="0" t="0" r="0" b="1270"/>
            <wp:wrapNone/>
            <wp:docPr id="20" name="Obrázek 20" descr="C:\Dokumenty\Obrázky\Telwin\Tel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y\Obrázky\Telwin\Telw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BD9" w:rsidRPr="00150BD9" w:rsidRDefault="00150BD9" w:rsidP="00FC62C4">
      <w:pPr>
        <w:rPr>
          <w:noProof/>
          <w:sz w:val="40"/>
          <w:szCs w:val="40"/>
          <w:lang w:eastAsia="cs-CZ"/>
        </w:rPr>
      </w:pPr>
    </w:p>
    <w:p w:rsidR="00A1687C" w:rsidRPr="00A1687C" w:rsidRDefault="00A1687C" w:rsidP="00FC62C4">
      <w:pPr>
        <w:rPr>
          <w:noProof/>
          <w:sz w:val="96"/>
          <w:szCs w:val="96"/>
          <w:lang w:eastAsia="cs-CZ"/>
        </w:rPr>
      </w:pPr>
      <w:r w:rsidRPr="00A1687C">
        <w:rPr>
          <w:noProof/>
          <w:sz w:val="96"/>
          <w:szCs w:val="96"/>
          <w:lang w:eastAsia="cs-CZ"/>
        </w:rPr>
        <w:t xml:space="preserve">Profesionální nabíječka </w:t>
      </w:r>
    </w:p>
    <w:p w:rsidR="00A1687C" w:rsidRPr="00150BD9" w:rsidRDefault="00A1687C" w:rsidP="00A1687C">
      <w:pPr>
        <w:jc w:val="center"/>
        <w:rPr>
          <w:b/>
          <w:noProof/>
          <w:sz w:val="72"/>
          <w:szCs w:val="72"/>
          <w:lang w:eastAsia="cs-CZ"/>
        </w:rPr>
      </w:pPr>
      <w:r w:rsidRPr="00150BD9">
        <w:rPr>
          <w:b/>
          <w:noProof/>
          <w:sz w:val="72"/>
          <w:szCs w:val="72"/>
          <w:lang w:eastAsia="cs-CZ"/>
        </w:rPr>
        <w:t>DOCTOR CHARGE 50</w:t>
      </w:r>
    </w:p>
    <w:p w:rsidR="00A1687C" w:rsidRDefault="00A1687C" w:rsidP="00A1687C">
      <w:pPr>
        <w:jc w:val="center"/>
        <w:rPr>
          <w:b/>
          <w:noProof/>
          <w:sz w:val="40"/>
          <w:szCs w:val="40"/>
          <w:lang w:eastAsia="cs-CZ"/>
        </w:rPr>
      </w:pPr>
      <w:r>
        <w:rPr>
          <w:b/>
          <w:noProof/>
          <w:sz w:val="40"/>
          <w:szCs w:val="40"/>
          <w:lang w:eastAsia="cs-CZ"/>
        </w:rPr>
        <w:t>807571</w:t>
      </w:r>
    </w:p>
    <w:p w:rsidR="00A1687C" w:rsidRPr="00A1687C" w:rsidRDefault="00A1687C" w:rsidP="00A1687C">
      <w:pPr>
        <w:jc w:val="center"/>
        <w:rPr>
          <w:b/>
          <w:noProof/>
          <w:sz w:val="40"/>
          <w:szCs w:val="40"/>
          <w:lang w:eastAsia="cs-CZ"/>
        </w:rPr>
      </w:pPr>
      <w:r>
        <w:rPr>
          <w:b/>
          <w:noProof/>
          <w:sz w:val="40"/>
          <w:szCs w:val="40"/>
          <w:lang w:eastAsia="cs-CZ"/>
        </w:rPr>
        <w:t>Návod k použití</w:t>
      </w:r>
    </w:p>
    <w:p w:rsidR="00261F83" w:rsidRDefault="00A1687C" w:rsidP="00FC62C4">
      <w:r>
        <w:rPr>
          <w:noProof/>
          <w:lang w:eastAsia="cs-CZ"/>
        </w:rPr>
        <w:drawing>
          <wp:inline distT="0" distB="0" distL="0" distR="0">
            <wp:extent cx="5762625" cy="4229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7C" w:rsidRDefault="00A1687C" w:rsidP="00FC62C4"/>
    <w:p w:rsidR="00A1687C" w:rsidRDefault="00A1687C" w:rsidP="00FC62C4"/>
    <w:p w:rsidR="00261F83" w:rsidRDefault="00261F83" w:rsidP="00FC62C4">
      <w:r>
        <w:rPr>
          <w:noProof/>
          <w:lang w:eastAsia="cs-CZ"/>
        </w:rPr>
        <w:lastRenderedPageBreak/>
        <w:drawing>
          <wp:inline distT="0" distB="0" distL="0" distR="0">
            <wp:extent cx="5753100" cy="415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C4" w:rsidRDefault="00FC62C4" w:rsidP="00FC62C4">
      <w:r>
        <w:t>1. Nastavení napětí baterie.</w:t>
      </w:r>
    </w:p>
    <w:p w:rsidR="00FC62C4" w:rsidRDefault="00FC62C4" w:rsidP="00FC62C4">
      <w:r>
        <w:t xml:space="preserve">2. Hlavní displej: napětí-proud měří baterie, vybrané </w:t>
      </w:r>
      <w:proofErr w:type="spellStart"/>
      <w:r>
        <w:t>Ah</w:t>
      </w:r>
      <w:proofErr w:type="spellEnd"/>
      <w:r>
        <w:t>, hodnota napětí vybrán pro</w:t>
      </w:r>
    </w:p>
    <w:p w:rsidR="00FC62C4" w:rsidRDefault="00FC62C4" w:rsidP="00FC62C4">
      <w:r>
        <w:t>dodávky / Diagnostika / Vyrovnávací programy,</w:t>
      </w:r>
      <w:r w:rsidR="00AB318C">
        <w:t xml:space="preserve"> zprávy</w:t>
      </w:r>
      <w:r>
        <w:t xml:space="preserve"> pro obsluhu, alarm kód.</w:t>
      </w:r>
    </w:p>
    <w:p w:rsidR="00FC62C4" w:rsidRDefault="00FC62C4" w:rsidP="00FC62C4">
      <w:r>
        <w:t>3. Polarita reverzní alarm, zkrat, opotřebované nebo vadná baterie.</w:t>
      </w:r>
    </w:p>
    <w:p w:rsidR="00FC62C4" w:rsidRDefault="00FC62C4" w:rsidP="00FC62C4">
      <w:r>
        <w:t>4. Nastavte proud a napětí."</w:t>
      </w:r>
      <w:proofErr w:type="gramStart"/>
      <w:r>
        <w:t>AL1 - AL9</w:t>
      </w:r>
      <w:proofErr w:type="gramEnd"/>
      <w:r>
        <w:t>" Alarm kód.</w:t>
      </w:r>
    </w:p>
    <w:p w:rsidR="00FC62C4" w:rsidRDefault="00FC62C4" w:rsidP="00FC62C4">
      <w:r>
        <w:t xml:space="preserve">5. Úroveň nabití baterie. Současná volba </w:t>
      </w:r>
    </w:p>
    <w:p w:rsidR="00FC62C4" w:rsidRDefault="00FC62C4" w:rsidP="00FC62C4">
      <w:r>
        <w:t xml:space="preserve">6. PULSE-TRONIC Nabíjení: AUTO, BOOST, </w:t>
      </w:r>
      <w:proofErr w:type="gramStart"/>
      <w:r>
        <w:t>Klientské  (</w:t>
      </w:r>
      <w:proofErr w:type="spellStart"/>
      <w:proofErr w:type="gramEnd"/>
      <w:r>
        <w:t>Ah</w:t>
      </w:r>
      <w:proofErr w:type="spellEnd"/>
      <w:r>
        <w:t xml:space="preserve"> nastavení).</w:t>
      </w:r>
    </w:p>
    <w:p w:rsidR="00FC62C4" w:rsidRDefault="00FC62C4" w:rsidP="00FC62C4">
      <w:r>
        <w:t>7. Nízká provozní teplota.</w:t>
      </w:r>
    </w:p>
    <w:p w:rsidR="00FC62C4" w:rsidRDefault="00FC62C4" w:rsidP="00FC62C4">
      <w:r>
        <w:t>8. Tichý provoz.</w:t>
      </w:r>
    </w:p>
    <w:p w:rsidR="00FC62C4" w:rsidRDefault="00FC62C4" w:rsidP="00FC62C4">
      <w:r>
        <w:t>9. EKVALIZACE Mode.</w:t>
      </w:r>
    </w:p>
    <w:p w:rsidR="00FC62C4" w:rsidRDefault="00FC62C4" w:rsidP="00FC62C4">
      <w:r>
        <w:t>10. DESULFATION Mode.</w:t>
      </w:r>
    </w:p>
    <w:p w:rsidR="00FC62C4" w:rsidRDefault="00FC62C4" w:rsidP="00FC62C4">
      <w:r>
        <w:t>11. Volba typu 11 baterie:</w:t>
      </w:r>
    </w:p>
    <w:p w:rsidR="00FC62C4" w:rsidRDefault="00FC62C4" w:rsidP="00FC62C4">
      <w:r>
        <w:t>Mokrá: olověné akumulátory, na bázi tekutého elektrolytu.</w:t>
      </w:r>
    </w:p>
    <w:p w:rsidR="00FC62C4" w:rsidRDefault="00FC62C4" w:rsidP="00FC62C4">
      <w:r>
        <w:t>GEL: olověné akumulátory, uzavřené, s tuhým elektrolytem.</w:t>
      </w:r>
    </w:p>
    <w:p w:rsidR="00FC62C4" w:rsidRDefault="00FC62C4" w:rsidP="00FC62C4">
      <w:r>
        <w:t>AGM: olověné baterie, uzavřená, elektrolyt na absorpční materiál.</w:t>
      </w:r>
    </w:p>
    <w:p w:rsidR="00FC62C4" w:rsidRDefault="00FC62C4" w:rsidP="00FC62C4">
      <w:proofErr w:type="spellStart"/>
      <w:r>
        <w:t>PbCa</w:t>
      </w:r>
      <w:proofErr w:type="spellEnd"/>
      <w:r>
        <w:t>: olovo-vápník baterie.</w:t>
      </w:r>
    </w:p>
    <w:p w:rsidR="00FC62C4" w:rsidRDefault="00FC62C4" w:rsidP="00FC62C4">
      <w:r>
        <w:lastRenderedPageBreak/>
        <w:t>12. SUPPLY Mode.</w:t>
      </w:r>
    </w:p>
    <w:p w:rsidR="00FC62C4" w:rsidRDefault="00FC62C4" w:rsidP="00FC62C4">
      <w:r>
        <w:t>13. diagnostickém režimu.</w:t>
      </w:r>
    </w:p>
    <w:p w:rsidR="00FC62C4" w:rsidRDefault="00FC62C4" w:rsidP="00FC62C4">
      <w:r>
        <w:t>14. PULSE-TRONIC nabíjení kroky.</w:t>
      </w:r>
    </w:p>
    <w:p w:rsidR="00FC62C4" w:rsidRDefault="00FC62C4" w:rsidP="00FC62C4">
      <w:r>
        <w:t>15. Režim START (je-li k dispozici).</w:t>
      </w:r>
    </w:p>
    <w:p w:rsidR="00E40F98" w:rsidRDefault="00FC62C4" w:rsidP="00FC62C4">
      <w:r>
        <w:t>16. Automatický režim nabíjení</w:t>
      </w:r>
    </w:p>
    <w:p w:rsidR="00FC62C4" w:rsidRDefault="00FC62C4" w:rsidP="00FC62C4">
      <w:r>
        <w:t xml:space="preserve">17. </w:t>
      </w:r>
      <w:proofErr w:type="spellStart"/>
      <w:r>
        <w:t>PulseTronic</w:t>
      </w:r>
      <w:proofErr w:type="spellEnd"/>
      <w:r>
        <w:t xml:space="preserve"> </w:t>
      </w:r>
      <w:proofErr w:type="spellStart"/>
      <w:r>
        <w:t>Charge</w:t>
      </w:r>
      <w:proofErr w:type="spellEnd"/>
      <w:r>
        <w:t>.</w:t>
      </w:r>
    </w:p>
    <w:p w:rsidR="00FC62C4" w:rsidRDefault="00FC62C4" w:rsidP="00FC62C4">
      <w:r>
        <w:t>18. Nabíjení provoz obvod Test (alternátoru).</w:t>
      </w:r>
    </w:p>
    <w:p w:rsidR="00FC62C4" w:rsidRDefault="00FC62C4" w:rsidP="00FC62C4">
      <w:r>
        <w:t xml:space="preserve">19. Startovací kapacita akumulátoru se </w:t>
      </w:r>
      <w:proofErr w:type="gramStart"/>
      <w:r>
        <w:t>test - CCA</w:t>
      </w:r>
      <w:proofErr w:type="gramEnd"/>
      <w:r>
        <w:t>.</w:t>
      </w:r>
    </w:p>
    <w:p w:rsidR="00FC62C4" w:rsidRDefault="00FC62C4" w:rsidP="00FC62C4">
      <w:r>
        <w:t>20. Úroveň nabití baterie test.</w:t>
      </w:r>
    </w:p>
    <w:p w:rsidR="00FC62C4" w:rsidRDefault="00FC62C4" w:rsidP="00FC62C4">
      <w:r>
        <w:t xml:space="preserve">21. </w:t>
      </w:r>
      <w:proofErr w:type="gramStart"/>
      <w:r>
        <w:t>VOLT - nastavení</w:t>
      </w:r>
      <w:proofErr w:type="gramEnd"/>
      <w:r>
        <w:t xml:space="preserve"> tlačítka:</w:t>
      </w:r>
    </w:p>
    <w:p w:rsidR="00FC62C4" w:rsidRDefault="00FC62C4" w:rsidP="00FC62C4">
      <w:r>
        <w:t>- 6. / 12 / 24V napětí baterie.</w:t>
      </w:r>
    </w:p>
    <w:p w:rsidR="00FC62C4" w:rsidRDefault="00FC62C4" w:rsidP="00FC62C4">
      <w:r>
        <w:t>- Tichý chod.</w:t>
      </w:r>
    </w:p>
    <w:p w:rsidR="00FC62C4" w:rsidRDefault="00FC62C4" w:rsidP="00FC62C4">
      <w:r>
        <w:t xml:space="preserve">- Napětí Nastavení / </w:t>
      </w:r>
      <w:proofErr w:type="spellStart"/>
      <w:r>
        <w:t>Ah</w:t>
      </w:r>
      <w:proofErr w:type="spellEnd"/>
      <w:r>
        <w:t>.</w:t>
      </w:r>
    </w:p>
    <w:p w:rsidR="00FC62C4" w:rsidRDefault="00FC62C4" w:rsidP="00FC62C4">
      <w:r>
        <w:t xml:space="preserve">22. </w:t>
      </w:r>
      <w:proofErr w:type="gramStart"/>
      <w:r>
        <w:t>FUNKCE - Nastavení</w:t>
      </w:r>
      <w:proofErr w:type="gramEnd"/>
      <w:r>
        <w:t xml:space="preserve"> tlačítka:</w:t>
      </w:r>
    </w:p>
    <w:p w:rsidR="00FC62C4" w:rsidRDefault="00FC62C4" w:rsidP="00FC62C4">
      <w:r>
        <w:t>- PULSE-TRONIC CHARGE (AUTO, AUTO,</w:t>
      </w:r>
    </w:p>
    <w:p w:rsidR="00FC62C4" w:rsidRDefault="00FC62C4" w:rsidP="00FC62C4">
      <w:r>
        <w:t xml:space="preserve">WET, GEL, AGM, </w:t>
      </w:r>
      <w:proofErr w:type="spellStart"/>
      <w:r>
        <w:t>PbCa</w:t>
      </w:r>
      <w:proofErr w:type="spellEnd"/>
      <w:r>
        <w:t>).</w:t>
      </w:r>
    </w:p>
    <w:p w:rsidR="00FC62C4" w:rsidRDefault="00FC62C4" w:rsidP="00FC62C4">
      <w:r>
        <w:t>- Stav TEST (baterie, alternátor vozidla,</w:t>
      </w:r>
    </w:p>
    <w:p w:rsidR="00FC62C4" w:rsidRDefault="00FC62C4" w:rsidP="00FC62C4">
      <w:r>
        <w:t>Startovací kapacita akumulátoru).</w:t>
      </w:r>
    </w:p>
    <w:p w:rsidR="00FC62C4" w:rsidRDefault="00FC62C4" w:rsidP="00FC62C4">
      <w:r>
        <w:t>- Pokročilé programy (DESULFATION,</w:t>
      </w:r>
    </w:p>
    <w:p w:rsidR="00FC62C4" w:rsidRDefault="00FC62C4" w:rsidP="00FC62C4">
      <w:proofErr w:type="spellStart"/>
      <w:r>
        <w:t>Ekvalizace</w:t>
      </w:r>
      <w:proofErr w:type="spellEnd"/>
      <w:r>
        <w:t>, diagnostika, napájení).</w:t>
      </w:r>
    </w:p>
    <w:p w:rsidR="00FC62C4" w:rsidRDefault="00FC62C4" w:rsidP="00FC62C4">
      <w:r>
        <w:t xml:space="preserve">- Napětí Nastavení / </w:t>
      </w:r>
      <w:proofErr w:type="spellStart"/>
      <w:r>
        <w:t>Ah</w:t>
      </w:r>
      <w:proofErr w:type="spellEnd"/>
      <w:r>
        <w:t>.</w:t>
      </w:r>
    </w:p>
    <w:p w:rsidR="00FC62C4" w:rsidRDefault="00FC62C4" w:rsidP="00FC62C4">
      <w:r>
        <w:t xml:space="preserve">23. </w:t>
      </w:r>
      <w:proofErr w:type="gramStart"/>
      <w:r>
        <w:t>MODE - nastavení</w:t>
      </w:r>
      <w:proofErr w:type="gramEnd"/>
      <w:r>
        <w:t xml:space="preserve"> tlačítka:</w:t>
      </w:r>
    </w:p>
    <w:p w:rsidR="00FC62C4" w:rsidRDefault="00FC62C4" w:rsidP="00FC62C4">
      <w:r>
        <w:t>- Výstupní proud (AUTO, BOOST, vlastní).</w:t>
      </w:r>
    </w:p>
    <w:p w:rsidR="00FC62C4" w:rsidRDefault="00FC62C4" w:rsidP="00FC62C4">
      <w:r>
        <w:t>- START Mode (pokud je k dispozici).</w:t>
      </w:r>
    </w:p>
    <w:p w:rsidR="00A1687C" w:rsidRDefault="00A1687C" w:rsidP="00FC62C4">
      <w:pPr>
        <w:rPr>
          <w:b/>
          <w:sz w:val="32"/>
          <w:szCs w:val="32"/>
        </w:rPr>
      </w:pPr>
    </w:p>
    <w:p w:rsidR="0080004A" w:rsidRDefault="0080004A" w:rsidP="00FC62C4">
      <w:pPr>
        <w:rPr>
          <w:b/>
          <w:sz w:val="32"/>
          <w:szCs w:val="32"/>
        </w:rPr>
      </w:pPr>
    </w:p>
    <w:p w:rsidR="0080004A" w:rsidRDefault="0080004A" w:rsidP="00FC62C4">
      <w:pPr>
        <w:rPr>
          <w:b/>
          <w:sz w:val="32"/>
          <w:szCs w:val="32"/>
        </w:rPr>
      </w:pPr>
    </w:p>
    <w:p w:rsidR="0080004A" w:rsidRDefault="0080004A" w:rsidP="00FC62C4">
      <w:pPr>
        <w:rPr>
          <w:b/>
          <w:sz w:val="32"/>
          <w:szCs w:val="32"/>
        </w:rPr>
      </w:pPr>
    </w:p>
    <w:p w:rsidR="00066D6C" w:rsidRDefault="00066D6C" w:rsidP="00066D6C">
      <w:pPr>
        <w:pStyle w:val="Nadpis2"/>
      </w:pPr>
      <w:r>
        <w:t>Popis</w:t>
      </w:r>
    </w:p>
    <w:p w:rsidR="00066D6C" w:rsidRDefault="00066D6C" w:rsidP="00066D6C">
      <w:pPr>
        <w:pStyle w:val="Normlnweb"/>
      </w:pPr>
      <w:r>
        <w:lastRenderedPageBreak/>
        <w:t xml:space="preserve">Elektronicky, </w:t>
      </w:r>
      <w:proofErr w:type="spellStart"/>
      <w:r>
        <w:t>microprocesorem</w:t>
      </w:r>
      <w:proofErr w:type="spellEnd"/>
      <w:r>
        <w:t xml:space="preserve"> řízená automatická nabíječka pro celkovou údržbu baterií WET, GEL, AGM, SPIRAL MF (motocyklové baterie, speciální baterie pro práci v náklonu - výrobce OPTIMA - Johnson Controls), START - STOP </w:t>
      </w:r>
      <w:proofErr w:type="gramStart"/>
      <w:r>
        <w:t>baterie  6</w:t>
      </w:r>
      <w:proofErr w:type="gramEnd"/>
      <w:r>
        <w:t xml:space="preserve">/12/24V a pro podporu servisní činnosti při výměně baterie na vozidlech kde je možnost ztráty dat přerušením napájení. Zcela nový pulsní nabíjecí generátor zaručuje lepší výkon nabíjení o 50 % více než u tradiční nabíječek. </w:t>
      </w:r>
      <w:r>
        <w:br/>
        <w:t xml:space="preserve">Pulse </w:t>
      </w:r>
      <w:proofErr w:type="spellStart"/>
      <w:r>
        <w:t>Tronic</w:t>
      </w:r>
      <w:proofErr w:type="spellEnd"/>
      <w:r>
        <w:t xml:space="preserve"> technologie zaručuje optimální nabíjení baterií. Nabíjení je rozloženo do osmi fází.</w:t>
      </w:r>
    </w:p>
    <w:p w:rsidR="00066D6C" w:rsidRDefault="00066D6C" w:rsidP="00066D6C">
      <w:pPr>
        <w:pStyle w:val="Nadpis2"/>
      </w:pPr>
      <w:r>
        <w:t xml:space="preserve">Doktor </w:t>
      </w:r>
      <w:proofErr w:type="spellStart"/>
      <w:r>
        <w:t>Charge</w:t>
      </w:r>
      <w:proofErr w:type="spellEnd"/>
      <w:r>
        <w:t xml:space="preserve"> 50 má čtyři základní funkce:</w:t>
      </w:r>
    </w:p>
    <w:p w:rsidR="00066D6C" w:rsidRDefault="00066D6C" w:rsidP="00066D6C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 xml:space="preserve">Automatické nabíjení a údržbu baterií s PULSE TRONIC technologií s korekcí nabíjení baterií ve velkých mrazech  </w:t>
      </w:r>
    </w:p>
    <w:p w:rsidR="00066D6C" w:rsidRDefault="00066D6C" w:rsidP="00066D6C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 xml:space="preserve">Diagnostické funkce jako test napětí na svorkách baterie, měření počáteční kapacity a kontrolní test stavu alternátoru vozidla </w:t>
      </w:r>
    </w:p>
    <w:p w:rsidR="00066D6C" w:rsidRDefault="00066D6C" w:rsidP="00066D6C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 xml:space="preserve">Nabíjecí režim regenerace </w:t>
      </w:r>
      <w:proofErr w:type="spellStart"/>
      <w:r>
        <w:t>sulfatované</w:t>
      </w:r>
      <w:proofErr w:type="spellEnd"/>
      <w:r>
        <w:t xml:space="preserve"> </w:t>
      </w:r>
      <w:proofErr w:type="gramStart"/>
      <w:r>
        <w:t>baterie</w:t>
      </w:r>
      <w:proofErr w:type="gramEnd"/>
      <w:r>
        <w:t xml:space="preserve"> kdy jsou desky baterie potaženy síranovým povlakem a baterie je nepoužitelná, nebo nabíjení velmi vybité baterie a obnova optimálního stavu baterie s periodickou regenerací </w:t>
      </w:r>
    </w:p>
    <w:p w:rsidR="00066D6C" w:rsidRDefault="00066D6C" w:rsidP="00066D6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Použití jako stabilní napájecí zdroj pro výměnu baterie </w:t>
      </w:r>
      <w:proofErr w:type="gramStart"/>
      <w:r>
        <w:t>( k</w:t>
      </w:r>
      <w:proofErr w:type="gramEnd"/>
      <w:r>
        <w:t xml:space="preserve"> ochraně elektroniky a ztrátě dat na řídící jednotce auta ), pro diagnostické činnosti (provozní kontroly, které provádějí na vozidlech ), pro udržování baterií vystavených vozidel v autosalonech. Možnost uložení parametrů posledního nabíjení do paměti pro často se opakující úkony. Doktor </w:t>
      </w:r>
      <w:proofErr w:type="spellStart"/>
      <w:r>
        <w:t>Charge</w:t>
      </w:r>
      <w:proofErr w:type="spellEnd"/>
      <w:r>
        <w:t xml:space="preserve"> je vyroben v nehořlavému provedení, má ochrana proti zkratu, přepólování, přepětí na vstupu a proti připojení vadné, zkratované baterie.</w:t>
      </w:r>
    </w:p>
    <w:p w:rsidR="00066D6C" w:rsidRDefault="00066D6C" w:rsidP="00066D6C">
      <w:pPr>
        <w:pStyle w:val="Nadpis2"/>
      </w:pPr>
      <w:r>
        <w:t>Nabíjecí režimy:</w:t>
      </w:r>
    </w:p>
    <w:p w:rsidR="00066D6C" w:rsidRDefault="00066D6C" w:rsidP="00066D6C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 xml:space="preserve">Automatický režim nabíječka provede automatickou volbu proudu podle </w:t>
      </w:r>
      <w:proofErr w:type="gramStart"/>
      <w:r>
        <w:t>s</w:t>
      </w:r>
      <w:proofErr w:type="gramEnd"/>
      <w:r>
        <w:t xml:space="preserve"> kapacity baterie s průběžným monitorováním nabíjecího procesu. Nabíjecí proces je možný i úplně vybité baterie na napětí 2 V.</w:t>
      </w:r>
    </w:p>
    <w:p w:rsidR="00066D6C" w:rsidRDefault="00066D6C" w:rsidP="00066D6C">
      <w:pPr>
        <w:pStyle w:val="Normlnweb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A0A5E6C" wp14:editId="3AD5330C">
            <wp:simplePos x="0" y="0"/>
            <wp:positionH relativeFrom="margin">
              <wp:posOffset>161925</wp:posOffset>
            </wp:positionH>
            <wp:positionV relativeFrom="paragraph">
              <wp:posOffset>210185</wp:posOffset>
            </wp:positionV>
            <wp:extent cx="3646646" cy="2895600"/>
            <wp:effectExtent l="0" t="0" r="0" b="0"/>
            <wp:wrapNone/>
            <wp:docPr id="15" name="Obrázek 15" descr="http://www.alfin-trading.cz/media/SoboryTelwin/Graf_nab__jen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fin-trading.cz/media/SoboryTelwin/Graf_nab__jen_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646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Automatický režim nabíjení je rozložen do 8 </w:t>
      </w:r>
      <w:proofErr w:type="gramStart"/>
      <w:r>
        <w:t>fází - viz</w:t>
      </w:r>
      <w:proofErr w:type="gramEnd"/>
      <w:r>
        <w:t xml:space="preserve"> diagram</w:t>
      </w:r>
    </w:p>
    <w:p w:rsidR="00066D6C" w:rsidRDefault="00066D6C" w:rsidP="00066D6C">
      <w:pPr>
        <w:pStyle w:val="Normlnweb"/>
      </w:pPr>
    </w:p>
    <w:p w:rsidR="00066D6C" w:rsidRDefault="00066D6C" w:rsidP="00066D6C">
      <w:pPr>
        <w:pStyle w:val="Normlnweb"/>
      </w:pPr>
      <w:r>
        <w:t> </w:t>
      </w:r>
    </w:p>
    <w:p w:rsidR="00066D6C" w:rsidRDefault="00066D6C" w:rsidP="00066D6C">
      <w:pPr>
        <w:pStyle w:val="Normlnweb"/>
      </w:pPr>
      <w:r>
        <w:t> </w:t>
      </w:r>
    </w:p>
    <w:p w:rsidR="00066D6C" w:rsidRDefault="00066D6C" w:rsidP="00066D6C">
      <w:pPr>
        <w:pStyle w:val="Normlnweb"/>
      </w:pPr>
      <w:r>
        <w:t> </w:t>
      </w:r>
    </w:p>
    <w:p w:rsidR="00066D6C" w:rsidRDefault="00066D6C" w:rsidP="00066D6C">
      <w:pPr>
        <w:pStyle w:val="Normlnweb"/>
      </w:pPr>
      <w:r>
        <w:t> </w:t>
      </w:r>
    </w:p>
    <w:p w:rsidR="00066D6C" w:rsidRDefault="00066D6C" w:rsidP="00066D6C">
      <w:pPr>
        <w:pStyle w:val="Normlnweb"/>
      </w:pPr>
      <w:r>
        <w:t> </w:t>
      </w:r>
    </w:p>
    <w:p w:rsidR="00066D6C" w:rsidRDefault="00066D6C" w:rsidP="00066D6C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Manuální </w:t>
      </w:r>
      <w:proofErr w:type="spellStart"/>
      <w:proofErr w:type="gramStart"/>
      <w:r>
        <w:t>řežim</w:t>
      </w:r>
      <w:proofErr w:type="spellEnd"/>
      <w:proofErr w:type="gramEnd"/>
      <w:r>
        <w:t xml:space="preserve"> kdy je možné nastavit parametry nabíjení ručně</w:t>
      </w:r>
    </w:p>
    <w:p w:rsidR="00066D6C" w:rsidRDefault="00066D6C" w:rsidP="00066D6C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lastRenderedPageBreak/>
        <w:t xml:space="preserve">Udržovací </w:t>
      </w:r>
      <w:proofErr w:type="spellStart"/>
      <w:proofErr w:type="gramStart"/>
      <w:r>
        <w:t>řežim</w:t>
      </w:r>
      <w:proofErr w:type="spellEnd"/>
      <w:r>
        <w:t xml:space="preserve"> - baterie</w:t>
      </w:r>
      <w:proofErr w:type="gramEnd"/>
      <w:r>
        <w:t xml:space="preserve"> je při vyřazení z provozu automaticky nabíjena v udržovacím režimu</w:t>
      </w:r>
    </w:p>
    <w:p w:rsidR="00066D6C" w:rsidRDefault="00066D6C" w:rsidP="00066D6C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 xml:space="preserve">Režim rychlého nabití baterie a automatické přepnutí do udržovací </w:t>
      </w:r>
      <w:proofErr w:type="gramStart"/>
      <w:r>
        <w:t>fáze</w:t>
      </w:r>
      <w:proofErr w:type="gramEnd"/>
      <w:r>
        <w:t xml:space="preserve"> jakmile je nabíjení dokončeno</w:t>
      </w:r>
    </w:p>
    <w:p w:rsidR="00066D6C" w:rsidRDefault="00066D6C" w:rsidP="00066D6C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Optimalizovaný průběh nabíjení při velmi nízkých teplotách (nízké teploty mohou mít vliv na chemickou strukturu dílů baterií)</w:t>
      </w:r>
    </w:p>
    <w:p w:rsidR="00066D6C" w:rsidRDefault="00066D6C" w:rsidP="00066D6C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Tiché nabíjení při sníženém výkonu, aby se zabránilo hluku od ventilátoru</w:t>
      </w:r>
    </w:p>
    <w:p w:rsidR="00066D6C" w:rsidRDefault="00066D6C" w:rsidP="00066D6C">
      <w:pPr>
        <w:pStyle w:val="Nadpis2"/>
      </w:pPr>
      <w:r>
        <w:t>Regenerace baterií:</w:t>
      </w:r>
    </w:p>
    <w:p w:rsidR="00066D6C" w:rsidRDefault="00066D6C" w:rsidP="00066D6C">
      <w:pPr>
        <w:numPr>
          <w:ilvl w:val="0"/>
          <w:numId w:val="39"/>
        </w:numPr>
        <w:spacing w:before="100" w:beforeAutospacing="1" w:after="100" w:afterAutospacing="1" w:line="240" w:lineRule="auto"/>
      </w:pPr>
      <w:proofErr w:type="spellStart"/>
      <w:proofErr w:type="gramStart"/>
      <w:r>
        <w:rPr>
          <w:rStyle w:val="Siln"/>
        </w:rPr>
        <w:t>Desulfatizace</w:t>
      </w:r>
      <w:proofErr w:type="spellEnd"/>
      <w:r>
        <w:t xml:space="preserve"> - pulzní</w:t>
      </w:r>
      <w:proofErr w:type="gramEnd"/>
      <w:r>
        <w:t xml:space="preserve"> proces odstraňování síranového povlaku z desek baterie a zotavení baterie na počáteční kapacitu.</w:t>
      </w:r>
    </w:p>
    <w:p w:rsidR="00066D6C" w:rsidRDefault="00066D6C" w:rsidP="00066D6C">
      <w:pPr>
        <w:numPr>
          <w:ilvl w:val="0"/>
          <w:numId w:val="40"/>
        </w:numPr>
        <w:spacing w:before="100" w:beforeAutospacing="1" w:after="100" w:afterAutospacing="1" w:line="240" w:lineRule="auto"/>
      </w:pPr>
      <w:proofErr w:type="spellStart"/>
      <w:proofErr w:type="gramStart"/>
      <w:r>
        <w:rPr>
          <w:rStyle w:val="Siln"/>
        </w:rPr>
        <w:t>Equalization</w:t>
      </w:r>
      <w:proofErr w:type="spellEnd"/>
      <w:r>
        <w:t xml:space="preserve"> - specifická</w:t>
      </w:r>
      <w:proofErr w:type="gramEnd"/>
      <w:r>
        <w:t xml:space="preserve"> funkce regenerace pro periodickou údržbu baterií s cílem obnovit optimální stav AGM nebo WET baterií. Po </w:t>
      </w:r>
      <w:proofErr w:type="spellStart"/>
      <w:r>
        <w:t>prosesu</w:t>
      </w:r>
      <w:proofErr w:type="spellEnd"/>
      <w:r>
        <w:t xml:space="preserve"> </w:t>
      </w:r>
      <w:proofErr w:type="spellStart"/>
      <w:r>
        <w:t>desulfatizace</w:t>
      </w:r>
      <w:proofErr w:type="spellEnd"/>
      <w:r>
        <w:t xml:space="preserve"> baterie ještě v tomto režimu </w:t>
      </w:r>
      <w:r>
        <w:rPr>
          <w:rStyle w:val="Siln"/>
        </w:rPr>
        <w:t>rozpustí nabíječka krystalky síranu</w:t>
      </w:r>
      <w:r>
        <w:t xml:space="preserve"> obsažené v elektrolytu.</w:t>
      </w:r>
    </w:p>
    <w:p w:rsidR="00066D6C" w:rsidRDefault="00066D6C" w:rsidP="00066D6C">
      <w:pPr>
        <w:pStyle w:val="Nadpis2"/>
      </w:pPr>
      <w:r>
        <w:t>Testování:</w:t>
      </w:r>
    </w:p>
    <w:p w:rsidR="00066D6C" w:rsidRDefault="00066D6C" w:rsidP="00066D6C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kontrola správného fungování dobíjení alternátoru v autě</w:t>
      </w:r>
    </w:p>
    <w:p w:rsidR="00066D6C" w:rsidRDefault="00066D6C" w:rsidP="00066D6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kontrola úrovně kapacity baterie před nabíjením (CCA)</w:t>
      </w:r>
    </w:p>
    <w:p w:rsidR="00066D6C" w:rsidRDefault="00066D6C" w:rsidP="00066D6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 xml:space="preserve">kontrola napětí baterie </w:t>
      </w:r>
    </w:p>
    <w:p w:rsidR="00066D6C" w:rsidRDefault="00066D6C" w:rsidP="00066D6C">
      <w:pPr>
        <w:pStyle w:val="Nadpis2"/>
      </w:pPr>
      <w:r>
        <w:t>Podpora při startu: jen model 50</w:t>
      </w:r>
    </w:p>
    <w:p w:rsidR="00066D6C" w:rsidRDefault="00066D6C" w:rsidP="00066D6C">
      <w:pPr>
        <w:pStyle w:val="Normlnweb"/>
      </w:pPr>
      <w:r>
        <w:t> </w:t>
      </w:r>
    </w:p>
    <w:p w:rsidR="00066D6C" w:rsidRDefault="00066D6C" w:rsidP="00066D6C">
      <w:pPr>
        <w:pStyle w:val="Nadpis2"/>
      </w:pPr>
      <w:r>
        <w:t>Další možnosti použití:</w:t>
      </w:r>
    </w:p>
    <w:p w:rsidR="00066D6C" w:rsidRDefault="00066D6C" w:rsidP="00066D6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možnost napájení automobilového rozvodu při diagnostikování napájecí baterie. Nabíječ nahrazuje baterii, aby nebyla ztracena data při odpojení baterie.</w:t>
      </w:r>
    </w:p>
    <w:p w:rsidR="00066D6C" w:rsidRDefault="00066D6C" w:rsidP="00066D6C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nová diagnostická funkce zaznamenávající sebemenší odchylku palubního napětí</w:t>
      </w:r>
    </w:p>
    <w:p w:rsidR="00066D6C" w:rsidRDefault="00066D6C" w:rsidP="00066D6C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 xml:space="preserve">údržba baterií vozidel vystavených v show </w:t>
      </w:r>
      <w:proofErr w:type="spellStart"/>
      <w:r>
        <w:t>roomech</w:t>
      </w:r>
      <w:proofErr w:type="spellEnd"/>
    </w:p>
    <w:p w:rsidR="00066D6C" w:rsidRDefault="00066D6C" w:rsidP="00066D6C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 xml:space="preserve">možnost uzamčení paměti nastavení posledního </w:t>
      </w:r>
      <w:proofErr w:type="gramStart"/>
      <w:r>
        <w:t>nabíjení - při</w:t>
      </w:r>
      <w:proofErr w:type="gramEnd"/>
      <w:r>
        <w:t xml:space="preserve"> opakujících se úkonech</w:t>
      </w:r>
    </w:p>
    <w:p w:rsidR="00066D6C" w:rsidRDefault="00066D6C" w:rsidP="00066D6C">
      <w:pPr>
        <w:pStyle w:val="Normlnweb"/>
      </w:pPr>
    </w:p>
    <w:p w:rsidR="00066D6C" w:rsidRDefault="00066D6C" w:rsidP="00066D6C">
      <w:pPr>
        <w:pStyle w:val="Normlnweb"/>
      </w:pPr>
    </w:p>
    <w:p w:rsidR="00066D6C" w:rsidRDefault="00066D6C" w:rsidP="00066D6C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2106"/>
      </w:tblGrid>
      <w:tr w:rsidR="00066D6C" w:rsidTr="00066D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D6C" w:rsidRDefault="00066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Technické parametry</w:t>
            </w:r>
          </w:p>
        </w:tc>
      </w:tr>
      <w:tr w:rsidR="00066D6C" w:rsidTr="0006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Napětí </w:t>
            </w:r>
          </w:p>
        </w:tc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230 V </w:t>
            </w:r>
          </w:p>
        </w:tc>
      </w:tr>
      <w:tr w:rsidR="00066D6C" w:rsidTr="0006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Příkon </w:t>
            </w:r>
          </w:p>
        </w:tc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570 W </w:t>
            </w:r>
          </w:p>
        </w:tc>
      </w:tr>
      <w:tr w:rsidR="00066D6C" w:rsidTr="0006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Nabíjecí napětí </w:t>
            </w:r>
          </w:p>
        </w:tc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6-12-24 V </w:t>
            </w:r>
          </w:p>
        </w:tc>
      </w:tr>
      <w:tr w:rsidR="00066D6C" w:rsidTr="0006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Nabíjecí proud </w:t>
            </w:r>
            <w:proofErr w:type="spellStart"/>
            <w:r>
              <w:t>eff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45-45-23 A (6-12-24 V) </w:t>
            </w:r>
          </w:p>
        </w:tc>
      </w:tr>
      <w:tr w:rsidR="00066D6C" w:rsidTr="0006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Podpora při startu max. </w:t>
            </w:r>
          </w:p>
        </w:tc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70 A </w:t>
            </w:r>
          </w:p>
        </w:tc>
      </w:tr>
      <w:tr w:rsidR="00066D6C" w:rsidTr="0006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Kapacita akumulátoru </w:t>
            </w:r>
          </w:p>
        </w:tc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10-600 </w:t>
            </w:r>
            <w:proofErr w:type="spellStart"/>
            <w:r>
              <w:t>Ah</w:t>
            </w:r>
            <w:proofErr w:type="spellEnd"/>
            <w:r>
              <w:t xml:space="preserve"> </w:t>
            </w:r>
          </w:p>
        </w:tc>
      </w:tr>
      <w:tr w:rsidR="00066D6C" w:rsidTr="0006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Rozměry </w:t>
            </w:r>
          </w:p>
        </w:tc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325x100x160 mm </w:t>
            </w:r>
          </w:p>
        </w:tc>
      </w:tr>
      <w:tr w:rsidR="00066D6C" w:rsidTr="0006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Váha </w:t>
            </w:r>
          </w:p>
        </w:tc>
        <w:tc>
          <w:tcPr>
            <w:tcW w:w="0" w:type="auto"/>
            <w:vAlign w:val="center"/>
            <w:hideMark/>
          </w:tcPr>
          <w:p w:rsidR="00066D6C" w:rsidRDefault="00066D6C">
            <w:r>
              <w:t xml:space="preserve">2,3 kg </w:t>
            </w:r>
          </w:p>
        </w:tc>
      </w:tr>
    </w:tbl>
    <w:p w:rsidR="00A1687C" w:rsidRDefault="00A1687C" w:rsidP="00FC62C4">
      <w:pPr>
        <w:rPr>
          <w:b/>
          <w:sz w:val="32"/>
          <w:szCs w:val="32"/>
        </w:rPr>
      </w:pPr>
      <w:r w:rsidRPr="00A1687C">
        <w:rPr>
          <w:b/>
          <w:sz w:val="32"/>
          <w:szCs w:val="32"/>
        </w:rPr>
        <w:t>Vysvětlivky k signálům nebezpečí:</w:t>
      </w: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029075" cy="25431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1. ZÁKL ADNÍ BEZ PEČNOSTNÍ POKYNY PRO POUŽITÍ</w:t>
      </w:r>
    </w:p>
    <w:p w:rsidR="002F67B2" w:rsidRPr="0080004A" w:rsidRDefault="00261F3D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57150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0880" y="21221"/>
                <wp:lineTo x="2088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7B2" w:rsidRPr="0080004A">
        <w:rPr>
          <w:rFonts w:ascii="Arial" w:eastAsia="ArialMT" w:hAnsi="Arial" w:cs="Arial"/>
        </w:rPr>
        <w:t>- Během nabíjení se z akumulátorů uvolňují výbušné plyny,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a proto zabraňte vzniku plamenů a jisker. NEKUŘTE.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Umístěte nabíjený akumulátor do větraného prostoru.</w:t>
      </w:r>
    </w:p>
    <w:p w:rsidR="00261F3D" w:rsidRPr="0080004A" w:rsidRDefault="00261F3D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:rsidR="002F67B2" w:rsidRPr="0080004A" w:rsidRDefault="00261F3D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13970</wp:posOffset>
            </wp:positionV>
            <wp:extent cx="5238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07" y="21221"/>
                <wp:lineTo x="2120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7B2" w:rsidRPr="0080004A">
        <w:rPr>
          <w:rFonts w:ascii="Arial" w:eastAsia="Arial-BoldMT" w:hAnsi="Arial" w:cs="Arial"/>
          <w:b/>
          <w:bCs/>
        </w:rPr>
        <w:t>- O soby, které nemají zkušenosti se zařízením, by měly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být před jeho používáním vhodně vyškoleny.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- O soby (včetně dětí), jejichž fyzické, senzorické nebo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mentální schopnosti nejsou dostačující pro správné použití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zařízení, musí být během jeho použití pod dozorem osoby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zodpovědné za jejich bezpečnost.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 xml:space="preserve">- D </w:t>
      </w:r>
      <w:proofErr w:type="spellStart"/>
      <w:r w:rsidRPr="0080004A">
        <w:rPr>
          <w:rFonts w:ascii="Arial" w:eastAsia="Arial-BoldMT" w:hAnsi="Arial" w:cs="Arial"/>
          <w:b/>
          <w:bCs/>
        </w:rPr>
        <w:t>ěti</w:t>
      </w:r>
      <w:proofErr w:type="spellEnd"/>
      <w:r w:rsidRPr="0080004A">
        <w:rPr>
          <w:rFonts w:ascii="Arial" w:eastAsia="Arial-BoldMT" w:hAnsi="Arial" w:cs="Arial"/>
          <w:b/>
          <w:bCs/>
        </w:rPr>
        <w:t xml:space="preserve"> musí být pod dozorem s cílem ujistit se, že si nebudou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hrát se zařízením.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Nabíječku akumulátorů používejte pouze uvnitř a ujistěte se, že ji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používáte v dobře větraných prostorech: NEVYSTAVUJTE DEŠTI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NEBO SNĚHU.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Před zapojením nebo odpojením nabíjecích kabelů od akumulátoru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odpojte napájecí kabel ze sítě.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lastRenderedPageBreak/>
        <w:t>- Nepřipojujte ani neodpojujte kleště k/od akumulátoru během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činnosti nabíječky akumulátorů.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V žádném případě nepoužívejte nabíječku akumulátorů uvnitř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vozidla nebo v prostoru motoru.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Napájecí kabel nahraďte pouze originálním kabelem.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Nepoužívejte nabíječku akumulátorů pro nabíjení akumulátorů,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které nelze nabíjet.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Zkontrolujte, zda napájecí napětí, které je k dispozici, odpovídá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napětí uvedenému na identifikačním štítku nabíječky akumulátorů.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Aby nedošlo k poškození elektroniky vozidel, přísně dodržujte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varování od výrobců vozidel nebo použitých akumulátorů.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Součástí této nabíječky akumulátorů jsou komponenty, jako např.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vypínače nebo relé, které mohou vyvolat vznik oblouku nebo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jiskry; proto při použití nabíječky akumulátorů v autodílně nebo v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podobném prostředí uložte nabíječku do místnosti nebo do obalu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vhodného k tomuto účelu.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Zásahy do vnitřních částí nabíječky akumulátorů v rámci oprav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nebo údržby může provádět pouze zkušený personál.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 xml:space="preserve">- UPOZO </w:t>
      </w:r>
      <w:proofErr w:type="gramStart"/>
      <w:r w:rsidRPr="0080004A">
        <w:rPr>
          <w:rFonts w:ascii="Arial" w:eastAsia="Arial-BoldMT" w:hAnsi="Arial" w:cs="Arial"/>
          <w:b/>
          <w:bCs/>
        </w:rPr>
        <w:t>RNĚNÍ :</w:t>
      </w:r>
      <w:proofErr w:type="gramEnd"/>
      <w:r w:rsidRPr="0080004A">
        <w:rPr>
          <w:rFonts w:ascii="Arial" w:eastAsia="Arial-BoldMT" w:hAnsi="Arial" w:cs="Arial"/>
          <w:b/>
          <w:bCs/>
        </w:rPr>
        <w:t xml:space="preserve"> POZO R, NEBEZ PEČÍ ! PŘED VYKONÁNÍM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JAKÉKOLI OPERACE V RÁMCI JEDNOD UCHÉ ÚDRŽBY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NABÍJEČKY AKUMULÁTO RŮ OD POJTE NAPÁJECÍ KABEL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</w:rPr>
      </w:pPr>
      <w:r w:rsidRPr="0080004A">
        <w:rPr>
          <w:rFonts w:ascii="Arial" w:eastAsia="Arial-BoldMT" w:hAnsi="Arial" w:cs="Arial"/>
          <w:b/>
          <w:bCs/>
        </w:rPr>
        <w:t>ZE SÍT Ě!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Nabíječka akumulátorů je v souladu s předpisy pro zařízení třídy I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chráněna proti nepřímému dotyku zemnicím vodičem. Zkontrolujte,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zda je zásuvka vybavena ochranným uzemněním.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- U modelů, které jím nejsou vybaveny, připojte zástrčky s kapacitou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odpovídající hodnotě pojistky uvedené na štítku; u modelů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vybavených kabelem se zástrčkou a výkonem „P.MAX START”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vyšším než 9kW, se při použití pro startování doporučuje vyměnit</w:t>
      </w:r>
    </w:p>
    <w:p w:rsidR="002F67B2" w:rsidRPr="0080004A" w:rsidRDefault="002F67B2" w:rsidP="002F67B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zástrčku za jinou s vhodnou kapacitou, odpovídající hodnotě</w:t>
      </w:r>
    </w:p>
    <w:p w:rsidR="002F67B2" w:rsidRPr="0080004A" w:rsidRDefault="002F67B2" w:rsidP="002F67B2">
      <w:pPr>
        <w:rPr>
          <w:rFonts w:ascii="Arial" w:eastAsia="ArialMT" w:hAnsi="Arial" w:cs="Arial"/>
        </w:rPr>
      </w:pPr>
      <w:r w:rsidRPr="0080004A">
        <w:rPr>
          <w:rFonts w:ascii="Arial" w:eastAsia="ArialMT" w:hAnsi="Arial" w:cs="Arial"/>
        </w:rPr>
        <w:t>pojistky uvedené na štítku</w:t>
      </w:r>
      <w:r w:rsidR="006903A8" w:rsidRPr="0080004A">
        <w:rPr>
          <w:rFonts w:ascii="Arial" w:eastAsia="ArialMT" w:hAnsi="Arial" w:cs="Arial"/>
        </w:rPr>
        <w:t>.</w:t>
      </w:r>
    </w:p>
    <w:p w:rsidR="006903A8" w:rsidRPr="0080004A" w:rsidRDefault="006903A8" w:rsidP="002F67B2">
      <w:pPr>
        <w:rPr>
          <w:rFonts w:ascii="Arial" w:eastAsia="ArialMT" w:hAnsi="Arial" w:cs="Arial"/>
          <w:b/>
          <w:sz w:val="20"/>
          <w:szCs w:val="20"/>
        </w:rPr>
      </w:pPr>
      <w:r w:rsidRPr="0080004A">
        <w:rPr>
          <w:rFonts w:ascii="Arial" w:eastAsia="ArialMT" w:hAnsi="Arial" w:cs="Arial"/>
          <w:b/>
          <w:sz w:val="20"/>
          <w:szCs w:val="20"/>
        </w:rPr>
        <w:t>Funkce: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A. PULSE-TRONIC CHARGE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B. TEST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- Informuje o stavu nabití TEST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- BATTERY START SCHOPNOST (CCA)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- ALTERNÁTOR TEST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C. ÚDRŽBA BATERIE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- DESULFATION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- EKVALIZACE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D. POWER NAPÁJENÍ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- DIAGNOSTICKÉ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- NAPÁJENÍ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E. START AID (je-li k dispozici)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F. CABLE KALIBRACE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t>G. Tichý provoz</w:t>
      </w:r>
    </w:p>
    <w:p w:rsidR="006903A8" w:rsidRPr="0080004A" w:rsidRDefault="006903A8" w:rsidP="006903A8">
      <w:pPr>
        <w:rPr>
          <w:rFonts w:ascii="Arial" w:hAnsi="Arial" w:cs="Arial"/>
          <w:sz w:val="20"/>
          <w:szCs w:val="20"/>
        </w:rPr>
      </w:pPr>
      <w:r w:rsidRPr="0080004A">
        <w:rPr>
          <w:rFonts w:ascii="Arial" w:hAnsi="Arial" w:cs="Arial"/>
          <w:sz w:val="20"/>
          <w:szCs w:val="20"/>
        </w:rPr>
        <w:lastRenderedPageBreak/>
        <w:t>VOLITELNÉ</w:t>
      </w:r>
      <w:r w:rsidR="0080004A">
        <w:rPr>
          <w:rFonts w:ascii="Arial" w:hAnsi="Arial" w:cs="Arial"/>
          <w:sz w:val="20"/>
          <w:szCs w:val="20"/>
        </w:rPr>
        <w:t xml:space="preserve"> / </w:t>
      </w:r>
      <w:r w:rsidRPr="0080004A">
        <w:rPr>
          <w:rFonts w:ascii="Arial" w:hAnsi="Arial" w:cs="Arial"/>
          <w:sz w:val="20"/>
          <w:szCs w:val="20"/>
        </w:rPr>
        <w:t>INFO ALARM</w:t>
      </w:r>
    </w:p>
    <w:p w:rsidR="006903A8" w:rsidRPr="0051072D" w:rsidRDefault="006903A8" w:rsidP="006903A8">
      <w:pPr>
        <w:rPr>
          <w:rFonts w:ascii="Arial" w:hAnsi="Arial" w:cs="Arial"/>
          <w:sz w:val="20"/>
          <w:szCs w:val="20"/>
        </w:rPr>
      </w:pPr>
    </w:p>
    <w:p w:rsidR="006903A8" w:rsidRDefault="006903A8" w:rsidP="006903A8">
      <w:pPr>
        <w:rPr>
          <w:rFonts w:ascii="Arial" w:hAnsi="Arial" w:cs="Arial"/>
          <w:sz w:val="24"/>
          <w:szCs w:val="24"/>
        </w:rPr>
      </w:pPr>
    </w:p>
    <w:p w:rsidR="006903A8" w:rsidRDefault="006903A8" w:rsidP="006903A8">
      <w:pPr>
        <w:rPr>
          <w:rFonts w:ascii="Arial" w:hAnsi="Arial" w:cs="Arial"/>
          <w:sz w:val="24"/>
          <w:szCs w:val="24"/>
        </w:rPr>
      </w:pPr>
    </w:p>
    <w:p w:rsidR="006903A8" w:rsidRDefault="006903A8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PŘIPOJENÍ KABELŮ</w:t>
      </w:r>
    </w:p>
    <w:p w:rsidR="006903A8" w:rsidRDefault="006903A8" w:rsidP="006903A8">
      <w:pPr>
        <w:rPr>
          <w:rFonts w:ascii="Arial" w:hAnsi="Arial" w:cs="Arial"/>
          <w:sz w:val="24"/>
          <w:szCs w:val="24"/>
        </w:rPr>
      </w:pPr>
    </w:p>
    <w:p w:rsidR="001D6F7F" w:rsidRDefault="0080004A" w:rsidP="006903A8">
      <w:pPr>
        <w:rPr>
          <w:rFonts w:ascii="Arial" w:hAnsi="Arial" w:cs="Arial"/>
          <w:sz w:val="24"/>
          <w:szCs w:val="24"/>
        </w:rPr>
      </w:pPr>
      <w:r w:rsidRPr="0080004A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 wp14:anchorId="42026083" wp14:editId="703D552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048125" cy="2419350"/>
            <wp:effectExtent l="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F7F" w:rsidRDefault="001D6F7F" w:rsidP="006903A8">
      <w:pPr>
        <w:rPr>
          <w:rFonts w:ascii="Arial" w:hAnsi="Arial" w:cs="Arial"/>
          <w:sz w:val="24"/>
          <w:szCs w:val="24"/>
        </w:rPr>
      </w:pPr>
    </w:p>
    <w:p w:rsidR="001D6F7F" w:rsidRDefault="001D6F7F" w:rsidP="006903A8">
      <w:pPr>
        <w:rPr>
          <w:rFonts w:ascii="Arial" w:hAnsi="Arial" w:cs="Arial"/>
          <w:sz w:val="24"/>
          <w:szCs w:val="24"/>
        </w:rPr>
      </w:pPr>
    </w:p>
    <w:p w:rsidR="001D6F7F" w:rsidRDefault="001D6F7F" w:rsidP="006903A8">
      <w:pPr>
        <w:rPr>
          <w:rFonts w:ascii="Arial" w:hAnsi="Arial" w:cs="Arial"/>
          <w:sz w:val="24"/>
          <w:szCs w:val="24"/>
        </w:rPr>
      </w:pPr>
    </w:p>
    <w:p w:rsidR="006903A8" w:rsidRDefault="006903A8" w:rsidP="006903A8">
      <w:pPr>
        <w:rPr>
          <w:rFonts w:ascii="Arial" w:hAnsi="Arial" w:cs="Arial"/>
          <w:sz w:val="24"/>
          <w:szCs w:val="24"/>
        </w:rPr>
      </w:pPr>
    </w:p>
    <w:p w:rsidR="00321EEE" w:rsidRDefault="0080004A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484D7FA2" wp14:editId="602643FD">
            <wp:simplePos x="0" y="0"/>
            <wp:positionH relativeFrom="column">
              <wp:posOffset>-80645</wp:posOffset>
            </wp:positionH>
            <wp:positionV relativeFrom="paragraph">
              <wp:posOffset>2592070</wp:posOffset>
            </wp:positionV>
            <wp:extent cx="4038600" cy="2886075"/>
            <wp:effectExtent l="0" t="0" r="0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1EEE" w:rsidRDefault="002D71D3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96204" cy="8524875"/>
            <wp:effectExtent l="0" t="0" r="508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858" cy="854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7F" w:rsidRDefault="001D6F7F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096000" cy="8607602"/>
            <wp:effectExtent l="0" t="0" r="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194" cy="861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301" w:rsidRDefault="007F2301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104925" cy="86868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28" cy="870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5D" w:rsidRDefault="0054105D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118360" cy="86391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11" cy="86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EE" w:rsidRDefault="00DB0FEE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297410" cy="8934450"/>
            <wp:effectExtent l="0" t="0" r="825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14" cy="894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C9" w:rsidRDefault="004F59DE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169850" cy="8753475"/>
            <wp:effectExtent l="0" t="0" r="254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66" cy="876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F" w:rsidRDefault="00E67D7F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067425" cy="8709898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246" cy="871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02" w:rsidRDefault="00097202" w:rsidP="0069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224979" cy="8753475"/>
            <wp:effectExtent l="0" t="0" r="444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46" cy="876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D9" w:rsidRDefault="00150BD9" w:rsidP="00150BD9">
      <w:pPr>
        <w:pStyle w:val="Zkladntext"/>
        <w:jc w:val="left"/>
      </w:pPr>
      <w:r>
        <w:rPr>
          <w:b/>
          <w:bCs/>
          <w:szCs w:val="16"/>
        </w:rPr>
        <w:lastRenderedPageBreak/>
        <w:t>PROHLÁŠENÍ O SHODĚ.</w:t>
      </w:r>
    </w:p>
    <w:p w:rsidR="00150BD9" w:rsidRDefault="00150BD9" w:rsidP="00150BD9">
      <w:pPr>
        <w:pStyle w:val="Zkladntext"/>
        <w:jc w:val="left"/>
      </w:pPr>
    </w:p>
    <w:p w:rsidR="00150BD9" w:rsidRDefault="00150BD9" w:rsidP="00150BD9">
      <w:pPr>
        <w:pStyle w:val="Zkladntext"/>
        <w:jc w:val="left"/>
      </w:pPr>
      <w:r>
        <w:rPr>
          <w:szCs w:val="16"/>
        </w:rPr>
        <w:t xml:space="preserve">Firma </w:t>
      </w:r>
      <w:proofErr w:type="spellStart"/>
      <w:r>
        <w:rPr>
          <w:szCs w:val="16"/>
        </w:rPr>
        <w:t>Telwin</w:t>
      </w:r>
      <w:proofErr w:type="spellEnd"/>
      <w:r>
        <w:rPr>
          <w:szCs w:val="16"/>
        </w:rPr>
        <w:t xml:space="preserve"> </w:t>
      </w:r>
      <w:proofErr w:type="spellStart"/>
      <w:proofErr w:type="gramStart"/>
      <w:r>
        <w:rPr>
          <w:szCs w:val="16"/>
        </w:rPr>
        <w:t>SpA</w:t>
      </w:r>
      <w:proofErr w:type="spellEnd"/>
      <w:r>
        <w:rPr>
          <w:szCs w:val="16"/>
        </w:rPr>
        <w:t xml:space="preserve"> ,</w:t>
      </w:r>
      <w:proofErr w:type="gramEnd"/>
      <w:r>
        <w:rPr>
          <w:szCs w:val="16"/>
        </w:rPr>
        <w:t xml:space="preserve"> Via </w:t>
      </w:r>
      <w:proofErr w:type="spellStart"/>
      <w:r>
        <w:rPr>
          <w:szCs w:val="16"/>
        </w:rPr>
        <w:t>della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Tecnica</w:t>
      </w:r>
      <w:proofErr w:type="spellEnd"/>
      <w:r>
        <w:rPr>
          <w:szCs w:val="16"/>
        </w:rPr>
        <w:t xml:space="preserve"> 3, 360 30 </w:t>
      </w:r>
      <w:proofErr w:type="spellStart"/>
      <w:r>
        <w:rPr>
          <w:szCs w:val="16"/>
        </w:rPr>
        <w:t>Villaverla</w:t>
      </w:r>
      <w:proofErr w:type="spellEnd"/>
      <w:r>
        <w:rPr>
          <w:szCs w:val="16"/>
        </w:rPr>
        <w:t>, ITALY  podpisem odpovědného zástupce stvrzuje, že dále uvedený výrobek:</w:t>
      </w:r>
    </w:p>
    <w:p w:rsidR="00150BD9" w:rsidRDefault="00150BD9" w:rsidP="00150BD9">
      <w:pPr>
        <w:pStyle w:val="Texttabulky"/>
      </w:pPr>
      <w:r>
        <w:t>Nabíječka akumulátorů</w:t>
      </w:r>
    </w:p>
    <w:p w:rsidR="00150BD9" w:rsidRDefault="00150BD9" w:rsidP="00150BD9">
      <w:pPr>
        <w:pStyle w:val="Zkladntext"/>
        <w:jc w:val="left"/>
        <w:rPr>
          <w:szCs w:val="16"/>
        </w:rPr>
      </w:pPr>
      <w:r>
        <w:rPr>
          <w:szCs w:val="16"/>
        </w:rPr>
        <w:t>Typ:</w:t>
      </w:r>
      <w:r>
        <w:t xml:space="preserve"> </w:t>
      </w:r>
      <w:proofErr w:type="spellStart"/>
      <w:r w:rsidR="00066D6C">
        <w:t>Doctor</w:t>
      </w:r>
      <w:proofErr w:type="spellEnd"/>
      <w:r w:rsidR="00066D6C">
        <w:t xml:space="preserve"> </w:t>
      </w:r>
      <w:proofErr w:type="spellStart"/>
      <w:r w:rsidR="00066D6C">
        <w:t>Chrage</w:t>
      </w:r>
      <w:proofErr w:type="spellEnd"/>
      <w:r w:rsidR="00066D6C">
        <w:t xml:space="preserve"> 50</w:t>
      </w:r>
    </w:p>
    <w:p w:rsidR="00150BD9" w:rsidRDefault="00150BD9" w:rsidP="00150BD9">
      <w:pPr>
        <w:rPr>
          <w:szCs w:val="16"/>
        </w:rPr>
      </w:pPr>
      <w:r>
        <w:rPr>
          <w:szCs w:val="16"/>
        </w:rPr>
        <w:t>Odpovídá předpisům Evropského společenství.</w:t>
      </w:r>
    </w:p>
    <w:p w:rsidR="00150BD9" w:rsidRDefault="00150BD9" w:rsidP="00150BD9">
      <w:pPr>
        <w:rPr>
          <w:szCs w:val="16"/>
        </w:rPr>
      </w:pPr>
    </w:p>
    <w:p w:rsidR="00150BD9" w:rsidRDefault="00150BD9" w:rsidP="00150BD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proofErr w:type="gramStart"/>
      <w:r>
        <w:rPr>
          <w:b/>
          <w:bCs/>
        </w:rPr>
        <w:t>ZÁRUČNÍ  PODMÍNKY</w:t>
      </w:r>
      <w:proofErr w:type="gramEnd"/>
      <w:r>
        <w:rPr>
          <w:b/>
          <w:bCs/>
        </w:rPr>
        <w:t>.</w:t>
      </w:r>
    </w:p>
    <w:p w:rsidR="00150BD9" w:rsidRDefault="00150BD9" w:rsidP="00150BD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</w:p>
    <w:p w:rsidR="00150BD9" w:rsidRDefault="00150BD9" w:rsidP="00150BD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r>
        <w:rPr>
          <w:szCs w:val="16"/>
        </w:rPr>
        <w:t xml:space="preserve">Na výrobky firmy </w:t>
      </w:r>
      <w:proofErr w:type="spellStart"/>
      <w:proofErr w:type="gramStart"/>
      <w:r>
        <w:rPr>
          <w:szCs w:val="16"/>
        </w:rPr>
        <w:t>Telwin</w:t>
      </w:r>
      <w:proofErr w:type="spellEnd"/>
      <w:r>
        <w:rPr>
          <w:szCs w:val="16"/>
        </w:rPr>
        <w:t xml:space="preserve">  Vám</w:t>
      </w:r>
      <w:proofErr w:type="gramEnd"/>
      <w:r>
        <w:rPr>
          <w:szCs w:val="16"/>
        </w:rPr>
        <w:t xml:space="preserve"> poskytujeme  záruku v délce 24 měsíců za následujících podmínek. Doba záruky začíná dnem prodeje, který je nutno prokázat dokladem o koupi jako je účet, dodací list nebo jejich kopie, a </w:t>
      </w:r>
      <w:r>
        <w:rPr>
          <w:szCs w:val="16"/>
          <w:u w:val="single"/>
        </w:rPr>
        <w:t>originálem záručního listu.</w:t>
      </w:r>
      <w:r>
        <w:rPr>
          <w:szCs w:val="16"/>
        </w:rPr>
        <w:t xml:space="preserve"> </w:t>
      </w:r>
      <w:r>
        <w:rPr>
          <w:b/>
          <w:bCs/>
          <w:szCs w:val="16"/>
          <w:u w:val="single"/>
        </w:rPr>
        <w:t xml:space="preserve">Po dobu </w:t>
      </w:r>
      <w:proofErr w:type="gramStart"/>
      <w:r>
        <w:rPr>
          <w:b/>
          <w:bCs/>
          <w:szCs w:val="16"/>
          <w:u w:val="single"/>
        </w:rPr>
        <w:t>trvání  záruky</w:t>
      </w:r>
      <w:proofErr w:type="gramEnd"/>
      <w:r>
        <w:rPr>
          <w:b/>
          <w:bCs/>
          <w:szCs w:val="16"/>
          <w:u w:val="single"/>
        </w:rPr>
        <w:t xml:space="preserve"> odstraníme na výrobku všechny funkční závady, které prokazatelně vznikly vadným provedením či vadou materiálu.</w:t>
      </w:r>
      <w:r>
        <w:rPr>
          <w:szCs w:val="16"/>
        </w:rPr>
        <w:t xml:space="preserve"> Použité náhradní díly stejně jako náklady na opravu nebudou účtovány. </w:t>
      </w:r>
    </w:p>
    <w:p w:rsidR="00150BD9" w:rsidRDefault="00150BD9" w:rsidP="00150BD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r>
        <w:rPr>
          <w:szCs w:val="16"/>
        </w:rPr>
        <w:t xml:space="preserve">Záruka se nevztahuje </w:t>
      </w:r>
      <w:r>
        <w:rPr>
          <w:b/>
          <w:bCs/>
          <w:szCs w:val="16"/>
          <w:u w:val="single"/>
        </w:rPr>
        <w:t>na opotřebení vzniklé používáním přístroje</w:t>
      </w:r>
      <w:r>
        <w:rPr>
          <w:b/>
          <w:bCs/>
          <w:szCs w:val="16"/>
        </w:rPr>
        <w:t xml:space="preserve"> </w:t>
      </w:r>
      <w:r>
        <w:rPr>
          <w:szCs w:val="16"/>
        </w:rPr>
        <w:t xml:space="preserve">a na škody vzniklé dopravou. Mimo to se také nevztahuje na škody, které vznikly nerespektováním montážního návodu a nerespektováním dalších všeobecně závazných předpisů. Výrobce dále neručí za škody, které vznikly jako následek jiných událostí nebo za škody způsobené vyšší mocí. </w:t>
      </w:r>
    </w:p>
    <w:p w:rsidR="00150BD9" w:rsidRDefault="00150BD9" w:rsidP="00150BD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r>
        <w:rPr>
          <w:szCs w:val="16"/>
        </w:rPr>
        <w:t>Doba záruky se prodlužuje o dobu trvání záruční opravy.</w:t>
      </w:r>
    </w:p>
    <w:p w:rsidR="00150BD9" w:rsidRDefault="00150BD9" w:rsidP="00150BD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/>
          <w:bCs/>
          <w:szCs w:val="16"/>
        </w:rPr>
      </w:pPr>
      <w:r>
        <w:rPr>
          <w:b/>
          <w:bCs/>
          <w:szCs w:val="16"/>
        </w:rPr>
        <w:t xml:space="preserve">V zájmu urychlení případné reklamace zasílejte přístroje </w:t>
      </w:r>
      <w:proofErr w:type="spellStart"/>
      <w:proofErr w:type="gramStart"/>
      <w:r>
        <w:rPr>
          <w:b/>
          <w:bCs/>
          <w:szCs w:val="16"/>
        </w:rPr>
        <w:t>Telwin</w:t>
      </w:r>
      <w:proofErr w:type="spellEnd"/>
      <w:r>
        <w:rPr>
          <w:b/>
          <w:bCs/>
          <w:szCs w:val="16"/>
        </w:rPr>
        <w:t xml:space="preserve">  přímo</w:t>
      </w:r>
      <w:proofErr w:type="gramEnd"/>
      <w:r>
        <w:rPr>
          <w:b/>
          <w:bCs/>
          <w:szCs w:val="16"/>
        </w:rPr>
        <w:t xml:space="preserve"> na adresu dovozce:</w:t>
      </w:r>
    </w:p>
    <w:p w:rsidR="00150BD9" w:rsidRDefault="00150BD9" w:rsidP="00150BD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r>
        <w:rPr>
          <w:b/>
          <w:bCs/>
          <w:szCs w:val="16"/>
        </w:rPr>
        <w:t xml:space="preserve"> </w:t>
      </w:r>
    </w:p>
    <w:p w:rsidR="00150BD9" w:rsidRDefault="00150BD9" w:rsidP="00150BD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proofErr w:type="spellStart"/>
      <w:r>
        <w:rPr>
          <w:szCs w:val="16"/>
          <w:u w:val="single"/>
        </w:rPr>
        <w:t>Alfin</w:t>
      </w:r>
      <w:proofErr w:type="spellEnd"/>
      <w:r>
        <w:rPr>
          <w:szCs w:val="16"/>
          <w:u w:val="single"/>
        </w:rPr>
        <w:t xml:space="preserve"> Trading s.r.o. Nádražní </w:t>
      </w:r>
      <w:proofErr w:type="gramStart"/>
      <w:r>
        <w:rPr>
          <w:szCs w:val="16"/>
          <w:u w:val="single"/>
        </w:rPr>
        <w:t>980 ,</w:t>
      </w:r>
      <w:proofErr w:type="gramEnd"/>
      <w:r>
        <w:rPr>
          <w:szCs w:val="16"/>
          <w:u w:val="single"/>
        </w:rPr>
        <w:t xml:space="preserve"> 675 71 Náměšť n. Oslavou 568 826784.</w:t>
      </w:r>
      <w:r>
        <w:rPr>
          <w:b/>
          <w:bCs/>
          <w:szCs w:val="16"/>
        </w:rPr>
        <w:t xml:space="preserve">  </w:t>
      </w:r>
    </w:p>
    <w:p w:rsidR="00150BD9" w:rsidRDefault="00150BD9" w:rsidP="00150BD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r>
        <w:rPr>
          <w:b/>
          <w:bCs/>
          <w:szCs w:val="16"/>
          <w:u w:val="single"/>
        </w:rPr>
        <w:t>U reklamovaných výrobků uvádějte vždy popis reklamované závady</w:t>
      </w:r>
      <w:r>
        <w:rPr>
          <w:b/>
          <w:bCs/>
          <w:szCs w:val="16"/>
        </w:rPr>
        <w:t>.</w:t>
      </w:r>
    </w:p>
    <w:p w:rsidR="00150BD9" w:rsidRDefault="00150BD9" w:rsidP="00150BD9">
      <w:pPr>
        <w:rPr>
          <w:sz w:val="20"/>
        </w:rPr>
      </w:pPr>
    </w:p>
    <w:p w:rsidR="00150BD9" w:rsidRDefault="00150BD9" w:rsidP="00150BD9">
      <w:r>
        <w:t>Více informací na:</w:t>
      </w:r>
    </w:p>
    <w:p w:rsidR="00150BD9" w:rsidRDefault="00150BD9" w:rsidP="00150BD9">
      <w:r>
        <w:t>www.telwin.cz</w:t>
      </w:r>
    </w:p>
    <w:p w:rsidR="00150BD9" w:rsidRDefault="00150BD9" w:rsidP="00150BD9">
      <w:r>
        <w:t>www.alfin-trading.cz</w:t>
      </w:r>
    </w:p>
    <w:p w:rsidR="00150BD9" w:rsidRDefault="00150BD9" w:rsidP="00150BD9">
      <w:pPr>
        <w:rPr>
          <w:sz w:val="20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508000" cy="685800"/>
            <wp:effectExtent l="0" t="0" r="6350" b="0"/>
            <wp:wrapNone/>
            <wp:docPr id="19" name="Obrázek 19" descr="..\Obrázky\popel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Obrázky\popelnic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BD9" w:rsidRDefault="00150BD9" w:rsidP="00150BD9">
      <w:pPr>
        <w:rPr>
          <w:sz w:val="20"/>
        </w:rPr>
      </w:pPr>
    </w:p>
    <w:p w:rsidR="00150BD9" w:rsidRDefault="00150BD9" w:rsidP="00150BD9">
      <w:pPr>
        <w:rPr>
          <w:sz w:val="20"/>
        </w:rPr>
      </w:pPr>
    </w:p>
    <w:p w:rsidR="00150BD9" w:rsidRDefault="00150BD9" w:rsidP="00150BD9">
      <w:pPr>
        <w:rPr>
          <w:sz w:val="20"/>
        </w:rPr>
      </w:pPr>
    </w:p>
    <w:p w:rsidR="00150BD9" w:rsidRDefault="00150BD9" w:rsidP="00150BD9">
      <w:pPr>
        <w:rPr>
          <w:sz w:val="20"/>
        </w:rPr>
      </w:pPr>
    </w:p>
    <w:p w:rsidR="00150BD9" w:rsidRDefault="00150BD9" w:rsidP="00150BD9">
      <w:pPr>
        <w:pStyle w:val="Zkladntext"/>
        <w:jc w:val="left"/>
      </w:pPr>
      <w:r>
        <w:rPr>
          <w:b/>
          <w:bCs/>
        </w:rPr>
        <w:t>Z Á R U Č N Í    L I S T.</w:t>
      </w:r>
    </w:p>
    <w:p w:rsidR="00150BD9" w:rsidRDefault="00150BD9" w:rsidP="00150BD9">
      <w:pPr>
        <w:pStyle w:val="Zkladntext"/>
        <w:jc w:val="left"/>
      </w:pPr>
    </w:p>
    <w:p w:rsidR="00150BD9" w:rsidRDefault="00150BD9" w:rsidP="00150BD9">
      <w:pPr>
        <w:pStyle w:val="Zkladntext"/>
        <w:jc w:val="left"/>
      </w:pPr>
      <w:r>
        <w:t>Typ: _________________     Výr.  čís.: ____________________</w:t>
      </w:r>
    </w:p>
    <w:p w:rsidR="00150BD9" w:rsidRDefault="00150BD9" w:rsidP="00150BD9">
      <w:pPr>
        <w:pStyle w:val="Zkladntext"/>
        <w:jc w:val="left"/>
      </w:pPr>
    </w:p>
    <w:p w:rsidR="00150BD9" w:rsidRDefault="00150BD9" w:rsidP="00150BD9">
      <w:pPr>
        <w:pStyle w:val="Zkladntext"/>
        <w:jc w:val="left"/>
      </w:pPr>
    </w:p>
    <w:p w:rsidR="00150BD9" w:rsidRDefault="00150BD9" w:rsidP="00150BD9">
      <w:pPr>
        <w:pStyle w:val="Zkladntext"/>
        <w:jc w:val="left"/>
      </w:pPr>
      <w:r>
        <w:t>Datum prodeje: _______________________________________</w:t>
      </w:r>
    </w:p>
    <w:p w:rsidR="00150BD9" w:rsidRDefault="00150BD9" w:rsidP="00150BD9">
      <w:pPr>
        <w:pStyle w:val="Zkladntext"/>
        <w:jc w:val="left"/>
      </w:pPr>
    </w:p>
    <w:p w:rsidR="00150BD9" w:rsidRDefault="00150BD9" w:rsidP="00150BD9">
      <w:pPr>
        <w:pStyle w:val="Zkladntext"/>
        <w:jc w:val="left"/>
      </w:pPr>
    </w:p>
    <w:p w:rsidR="00150BD9" w:rsidRDefault="00150BD9" w:rsidP="00150BD9">
      <w:pPr>
        <w:pStyle w:val="Zkladntext"/>
        <w:jc w:val="left"/>
      </w:pPr>
      <w:r>
        <w:t>Prodejce: ____________________________________________</w:t>
      </w:r>
    </w:p>
    <w:p w:rsidR="00150BD9" w:rsidRPr="006903A8" w:rsidRDefault="00150BD9" w:rsidP="006903A8">
      <w:pPr>
        <w:rPr>
          <w:rFonts w:ascii="Arial" w:hAnsi="Arial" w:cs="Arial"/>
          <w:sz w:val="24"/>
          <w:szCs w:val="24"/>
        </w:rPr>
      </w:pPr>
    </w:p>
    <w:sectPr w:rsidR="00150BD9" w:rsidRPr="00690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53" w:rsidRDefault="00BE5E53" w:rsidP="00A1687C">
      <w:pPr>
        <w:spacing w:after="0" w:line="240" w:lineRule="auto"/>
      </w:pPr>
      <w:r>
        <w:separator/>
      </w:r>
    </w:p>
  </w:endnote>
  <w:endnote w:type="continuationSeparator" w:id="0">
    <w:p w:rsidR="00BE5E53" w:rsidRDefault="00BE5E53" w:rsidP="00A1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53" w:rsidRDefault="00BE5E53" w:rsidP="00A1687C">
      <w:pPr>
        <w:spacing w:after="0" w:line="240" w:lineRule="auto"/>
      </w:pPr>
      <w:r>
        <w:separator/>
      </w:r>
    </w:p>
  </w:footnote>
  <w:footnote w:type="continuationSeparator" w:id="0">
    <w:p w:rsidR="00BE5E53" w:rsidRDefault="00BE5E53" w:rsidP="00A16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23"/>
    <w:multiLevelType w:val="multilevel"/>
    <w:tmpl w:val="3170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C38FE"/>
    <w:multiLevelType w:val="multilevel"/>
    <w:tmpl w:val="4248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17C4"/>
    <w:multiLevelType w:val="multilevel"/>
    <w:tmpl w:val="D524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36197"/>
    <w:multiLevelType w:val="multilevel"/>
    <w:tmpl w:val="50A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70F5E"/>
    <w:multiLevelType w:val="multilevel"/>
    <w:tmpl w:val="8564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A5BE2"/>
    <w:multiLevelType w:val="multilevel"/>
    <w:tmpl w:val="80EE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B422F"/>
    <w:multiLevelType w:val="multilevel"/>
    <w:tmpl w:val="6AB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919E7"/>
    <w:multiLevelType w:val="multilevel"/>
    <w:tmpl w:val="DBB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22C20"/>
    <w:multiLevelType w:val="multilevel"/>
    <w:tmpl w:val="2090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6280F"/>
    <w:multiLevelType w:val="multilevel"/>
    <w:tmpl w:val="E87C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B7C7A"/>
    <w:multiLevelType w:val="multilevel"/>
    <w:tmpl w:val="2F2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341A7"/>
    <w:multiLevelType w:val="multilevel"/>
    <w:tmpl w:val="B3B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B5F0B"/>
    <w:multiLevelType w:val="multilevel"/>
    <w:tmpl w:val="0B3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75CCA"/>
    <w:multiLevelType w:val="multilevel"/>
    <w:tmpl w:val="EEB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76B37"/>
    <w:multiLevelType w:val="multilevel"/>
    <w:tmpl w:val="E22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A1482"/>
    <w:multiLevelType w:val="multilevel"/>
    <w:tmpl w:val="E29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E28E8"/>
    <w:multiLevelType w:val="multilevel"/>
    <w:tmpl w:val="065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21CF7"/>
    <w:multiLevelType w:val="multilevel"/>
    <w:tmpl w:val="E410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452094"/>
    <w:multiLevelType w:val="multilevel"/>
    <w:tmpl w:val="1AE2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80176"/>
    <w:multiLevelType w:val="multilevel"/>
    <w:tmpl w:val="7F1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34D8A"/>
    <w:multiLevelType w:val="multilevel"/>
    <w:tmpl w:val="B46C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1F5C29"/>
    <w:multiLevelType w:val="multilevel"/>
    <w:tmpl w:val="95B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A6662F"/>
    <w:multiLevelType w:val="multilevel"/>
    <w:tmpl w:val="D06C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5441E"/>
    <w:multiLevelType w:val="multilevel"/>
    <w:tmpl w:val="0E0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E9261F"/>
    <w:multiLevelType w:val="multilevel"/>
    <w:tmpl w:val="4EA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87E0F"/>
    <w:multiLevelType w:val="multilevel"/>
    <w:tmpl w:val="C19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E4179"/>
    <w:multiLevelType w:val="multilevel"/>
    <w:tmpl w:val="FF06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DD148D"/>
    <w:multiLevelType w:val="multilevel"/>
    <w:tmpl w:val="247E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C4B6F"/>
    <w:multiLevelType w:val="multilevel"/>
    <w:tmpl w:val="5586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17491"/>
    <w:multiLevelType w:val="multilevel"/>
    <w:tmpl w:val="6B30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07F9F"/>
    <w:multiLevelType w:val="multilevel"/>
    <w:tmpl w:val="B3E2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E9302E"/>
    <w:multiLevelType w:val="multilevel"/>
    <w:tmpl w:val="1A2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F952B4"/>
    <w:multiLevelType w:val="multilevel"/>
    <w:tmpl w:val="16D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92E57"/>
    <w:multiLevelType w:val="multilevel"/>
    <w:tmpl w:val="E78E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3704A9"/>
    <w:multiLevelType w:val="multilevel"/>
    <w:tmpl w:val="0084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4E288F"/>
    <w:multiLevelType w:val="multilevel"/>
    <w:tmpl w:val="4BFC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856ED0"/>
    <w:multiLevelType w:val="multilevel"/>
    <w:tmpl w:val="D71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A4502"/>
    <w:multiLevelType w:val="multilevel"/>
    <w:tmpl w:val="41D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3B12A8"/>
    <w:multiLevelType w:val="multilevel"/>
    <w:tmpl w:val="F35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A32DB"/>
    <w:multiLevelType w:val="multilevel"/>
    <w:tmpl w:val="4E2C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C05471"/>
    <w:multiLevelType w:val="multilevel"/>
    <w:tmpl w:val="6824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1A5F65"/>
    <w:multiLevelType w:val="multilevel"/>
    <w:tmpl w:val="BC7A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596"/>
    <w:multiLevelType w:val="multilevel"/>
    <w:tmpl w:val="8DC8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B7CF8"/>
    <w:multiLevelType w:val="multilevel"/>
    <w:tmpl w:val="03B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471A60"/>
    <w:multiLevelType w:val="multilevel"/>
    <w:tmpl w:val="2A0A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5E468E"/>
    <w:multiLevelType w:val="multilevel"/>
    <w:tmpl w:val="EB12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A42B84"/>
    <w:multiLevelType w:val="multilevel"/>
    <w:tmpl w:val="4168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3"/>
  </w:num>
  <w:num w:numId="4">
    <w:abstractNumId w:val="28"/>
  </w:num>
  <w:num w:numId="5">
    <w:abstractNumId w:val="8"/>
  </w:num>
  <w:num w:numId="6">
    <w:abstractNumId w:val="5"/>
  </w:num>
  <w:num w:numId="7">
    <w:abstractNumId w:val="25"/>
  </w:num>
  <w:num w:numId="8">
    <w:abstractNumId w:val="34"/>
  </w:num>
  <w:num w:numId="9">
    <w:abstractNumId w:val="41"/>
  </w:num>
  <w:num w:numId="10">
    <w:abstractNumId w:val="26"/>
  </w:num>
  <w:num w:numId="11">
    <w:abstractNumId w:val="4"/>
  </w:num>
  <w:num w:numId="12">
    <w:abstractNumId w:val="31"/>
  </w:num>
  <w:num w:numId="13">
    <w:abstractNumId w:val="36"/>
  </w:num>
  <w:num w:numId="14">
    <w:abstractNumId w:val="6"/>
  </w:num>
  <w:num w:numId="15">
    <w:abstractNumId w:val="9"/>
  </w:num>
  <w:num w:numId="16">
    <w:abstractNumId w:val="45"/>
  </w:num>
  <w:num w:numId="17">
    <w:abstractNumId w:val="17"/>
  </w:num>
  <w:num w:numId="18">
    <w:abstractNumId w:val="27"/>
  </w:num>
  <w:num w:numId="19">
    <w:abstractNumId w:val="32"/>
  </w:num>
  <w:num w:numId="20">
    <w:abstractNumId w:val="46"/>
  </w:num>
  <w:num w:numId="21">
    <w:abstractNumId w:val="23"/>
  </w:num>
  <w:num w:numId="22">
    <w:abstractNumId w:val="20"/>
  </w:num>
  <w:num w:numId="23">
    <w:abstractNumId w:val="11"/>
  </w:num>
  <w:num w:numId="24">
    <w:abstractNumId w:val="44"/>
  </w:num>
  <w:num w:numId="25">
    <w:abstractNumId w:val="19"/>
  </w:num>
  <w:num w:numId="26">
    <w:abstractNumId w:val="33"/>
  </w:num>
  <w:num w:numId="27">
    <w:abstractNumId w:val="40"/>
  </w:num>
  <w:num w:numId="28">
    <w:abstractNumId w:val="13"/>
  </w:num>
  <w:num w:numId="29">
    <w:abstractNumId w:val="1"/>
  </w:num>
  <w:num w:numId="30">
    <w:abstractNumId w:val="15"/>
  </w:num>
  <w:num w:numId="31">
    <w:abstractNumId w:val="42"/>
  </w:num>
  <w:num w:numId="32">
    <w:abstractNumId w:val="37"/>
  </w:num>
  <w:num w:numId="33">
    <w:abstractNumId w:val="16"/>
  </w:num>
  <w:num w:numId="34">
    <w:abstractNumId w:val="30"/>
  </w:num>
  <w:num w:numId="35">
    <w:abstractNumId w:val="7"/>
  </w:num>
  <w:num w:numId="36">
    <w:abstractNumId w:val="10"/>
  </w:num>
  <w:num w:numId="37">
    <w:abstractNumId w:val="35"/>
  </w:num>
  <w:num w:numId="38">
    <w:abstractNumId w:val="21"/>
  </w:num>
  <w:num w:numId="39">
    <w:abstractNumId w:val="2"/>
  </w:num>
  <w:num w:numId="40">
    <w:abstractNumId w:val="24"/>
  </w:num>
  <w:num w:numId="41">
    <w:abstractNumId w:val="0"/>
  </w:num>
  <w:num w:numId="42">
    <w:abstractNumId w:val="39"/>
  </w:num>
  <w:num w:numId="43">
    <w:abstractNumId w:val="12"/>
  </w:num>
  <w:num w:numId="44">
    <w:abstractNumId w:val="22"/>
  </w:num>
  <w:num w:numId="45">
    <w:abstractNumId w:val="14"/>
  </w:num>
  <w:num w:numId="46">
    <w:abstractNumId w:val="3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C4"/>
    <w:rsid w:val="00023EA6"/>
    <w:rsid w:val="00062FC9"/>
    <w:rsid w:val="00066D6C"/>
    <w:rsid w:val="00097202"/>
    <w:rsid w:val="00150BD9"/>
    <w:rsid w:val="001D6F7F"/>
    <w:rsid w:val="00261F3D"/>
    <w:rsid w:val="00261F83"/>
    <w:rsid w:val="002D0B1A"/>
    <w:rsid w:val="002D71D3"/>
    <w:rsid w:val="002F67B2"/>
    <w:rsid w:val="00321EEE"/>
    <w:rsid w:val="00374F8B"/>
    <w:rsid w:val="004F59DE"/>
    <w:rsid w:val="0051072D"/>
    <w:rsid w:val="0054105D"/>
    <w:rsid w:val="005F160A"/>
    <w:rsid w:val="006120F1"/>
    <w:rsid w:val="006903A8"/>
    <w:rsid w:val="007C325F"/>
    <w:rsid w:val="007F2301"/>
    <w:rsid w:val="0080004A"/>
    <w:rsid w:val="00A1687C"/>
    <w:rsid w:val="00AB318C"/>
    <w:rsid w:val="00AC3D01"/>
    <w:rsid w:val="00BE5E53"/>
    <w:rsid w:val="00D543D8"/>
    <w:rsid w:val="00DB0FEE"/>
    <w:rsid w:val="00E40F98"/>
    <w:rsid w:val="00E67D7F"/>
    <w:rsid w:val="00F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D8932-AB51-4FEA-89EB-503A57FD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10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87C"/>
  </w:style>
  <w:style w:type="paragraph" w:styleId="Zpat">
    <w:name w:val="footer"/>
    <w:basedOn w:val="Normln"/>
    <w:link w:val="ZpatChar"/>
    <w:uiPriority w:val="99"/>
    <w:unhideWhenUsed/>
    <w:rsid w:val="00A1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87C"/>
  </w:style>
  <w:style w:type="paragraph" w:styleId="Zkladntext">
    <w:name w:val="Body Text"/>
    <w:basedOn w:val="Normln"/>
    <w:link w:val="ZkladntextChar"/>
    <w:semiHidden/>
    <w:rsid w:val="00150B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0BD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Texttabulky">
    <w:name w:val="Text tabulky"/>
    <w:rsid w:val="00150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B1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5107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07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00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AC88-DFEC-49DB-8F0E-C48525C7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Zezula</dc:creator>
  <cp:keywords/>
  <dc:description/>
  <cp:lastModifiedBy>Lenovo1</cp:lastModifiedBy>
  <cp:revision>2</cp:revision>
  <cp:lastPrinted>2014-11-10T11:35:00Z</cp:lastPrinted>
  <dcterms:created xsi:type="dcterms:W3CDTF">2019-10-02T06:48:00Z</dcterms:created>
  <dcterms:modified xsi:type="dcterms:W3CDTF">2019-10-02T06:48:00Z</dcterms:modified>
</cp:coreProperties>
</file>